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76D1" w:rsidRDefault="001176D1" w:rsidP="002F347E">
      <w:pPr>
        <w:pStyle w:val="Ttulo1"/>
        <w:rPr>
          <w:lang w:val="es-ES"/>
        </w:rPr>
      </w:pPr>
      <w:r>
        <w:rPr>
          <w:lang w:val="es-ES"/>
        </w:rPr>
        <w:t>Costos y gastos deducibles en el año gravable 2025 pero soportados en documentos sujetos al impuesto de timbre</w:t>
      </w:r>
    </w:p>
    <w:p w:rsidR="002F347E" w:rsidRPr="00766EA0" w:rsidRDefault="00766EA0">
      <w:pPr>
        <w:rPr>
          <w:color w:val="FF0000"/>
          <w:lang w:val="es-ES"/>
        </w:rPr>
      </w:pPr>
      <w:r w:rsidRPr="00766EA0">
        <w:rPr>
          <w:color w:val="FF0000"/>
          <w:lang w:val="es-ES"/>
        </w:rPr>
        <w:t>(elaborado en septiembre 22 de 2025)</w:t>
      </w:r>
    </w:p>
    <w:p w:rsidR="002F347E" w:rsidRDefault="00766EA0">
      <w:pPr>
        <w:rPr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22225</wp:posOffset>
                </wp:positionH>
                <wp:positionV relativeFrom="paragraph">
                  <wp:posOffset>94319</wp:posOffset>
                </wp:positionV>
                <wp:extent cx="5477855" cy="1008404"/>
                <wp:effectExtent l="0" t="0" r="8890" b="7620"/>
                <wp:wrapNone/>
                <wp:docPr id="115871314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7855" cy="10084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F347E" w:rsidRPr="002F347E" w:rsidRDefault="002F347E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De acuerdo con el artículo 177 del ET, para la deducción de costos y gastos durante el año gravable 2025 se hará necesario revisar si los mismos tuvieron su origen en la firma de documentos que superaban las 6.000 UVT y que por tanto obligaban a la liquidación del impuesto de timbre que fue revivido con el Decreto-Ley 175 de febrero 14 de 2025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.75pt;margin-top:7.45pt;width:431.35pt;height:79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" fillcolor="white [3201]" strokeweight=".5pt">
                <v:textbox>
                  <w:txbxContent>
                    <w:p w:rsidR="002F347E" w:rsidRPr="002F347E" w:rsidRDefault="002F347E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De acuerdo con el artículo 177 del ET, para la deducción de costos y gastos durante el año gravable 2025 se hará necesario revisar si los mismos tuvieron su origen en la firma de documentos que superaban las 6.000 UVT y que por tanto obligaban a la liquidación del impuesto de timbre que fue revivido con el Decreto-Ley 175 de febrero 14 de 2025 </w:t>
                      </w:r>
                    </w:p>
                  </w:txbxContent>
                </v:textbox>
              </v:shape>
            </w:pict>
          </mc:Fallback>
        </mc:AlternateContent>
      </w:r>
    </w:p>
    <w:p w:rsidR="001176D1" w:rsidRDefault="001176D1">
      <w:pPr>
        <w:rPr>
          <w:lang w:val="es-ES"/>
        </w:rPr>
      </w:pPr>
    </w:p>
    <w:p w:rsidR="002F347E" w:rsidRDefault="002F347E">
      <w:pPr>
        <w:rPr>
          <w:lang w:val="es-ES"/>
        </w:rPr>
      </w:pPr>
    </w:p>
    <w:p w:rsidR="002F347E" w:rsidRDefault="002F347E">
      <w:pPr>
        <w:rPr>
          <w:lang w:val="es-ES"/>
        </w:rPr>
      </w:pPr>
    </w:p>
    <w:p w:rsidR="002F347E" w:rsidRDefault="002F347E">
      <w:pPr>
        <w:rPr>
          <w:lang w:val="es-ES"/>
        </w:rPr>
      </w:pPr>
    </w:p>
    <w:p w:rsidR="002F347E" w:rsidRDefault="002F347E">
      <w:pPr>
        <w:rPr>
          <w:lang w:val="es-ES"/>
        </w:rPr>
      </w:pPr>
    </w:p>
    <w:p w:rsidR="002F347E" w:rsidRDefault="002F347E">
      <w:pPr>
        <w:rPr>
          <w:lang w:val="es-ES"/>
        </w:rPr>
      </w:pPr>
    </w:p>
    <w:p w:rsidR="001176D1" w:rsidRDefault="00000000">
      <w:pPr>
        <w:rPr>
          <w:lang w:val="es-ES"/>
        </w:rPr>
      </w:pPr>
      <w:hyperlink r:id="rId5" w:history="1">
        <w:r w:rsidR="001176D1" w:rsidRPr="00D30358">
          <w:rPr>
            <w:rStyle w:val="Hipervnculo"/>
            <w:lang w:val="es-ES"/>
          </w:rPr>
          <w:t xml:space="preserve">Fue mediante el </w:t>
        </w:r>
        <w:r w:rsidR="00D30358">
          <w:rPr>
            <w:rStyle w:val="Hipervnculo"/>
            <w:lang w:val="es-ES"/>
          </w:rPr>
          <w:t xml:space="preserve">artículo 8 del </w:t>
        </w:r>
        <w:r w:rsidR="001176D1" w:rsidRPr="00D30358">
          <w:rPr>
            <w:rStyle w:val="Hipervnculo"/>
            <w:lang w:val="es-ES"/>
          </w:rPr>
          <w:t>Decreto Legislativo 175 de febrero 14 de 2025</w:t>
        </w:r>
      </w:hyperlink>
      <w:r w:rsidR="001176D1">
        <w:rPr>
          <w:lang w:val="es-ES"/>
        </w:rPr>
        <w:t xml:space="preserve"> (expedido bajo el amparo de la declaratoria de conmoción interior para la región del </w:t>
      </w:r>
      <w:proofErr w:type="spellStart"/>
      <w:r w:rsidR="001176D1">
        <w:rPr>
          <w:lang w:val="es-ES"/>
        </w:rPr>
        <w:t>catatumbo</w:t>
      </w:r>
      <w:proofErr w:type="spellEnd"/>
      <w:r w:rsidR="001176D1">
        <w:rPr>
          <w:lang w:val="es-ES"/>
        </w:rPr>
        <w:t xml:space="preserve"> que se hizo con el Decreto 0062 de enero 24 de 2025), cuando se reactivó, de manera transitoria y hasta diciembre 31 de 2025, la obligación de liquidar el impuesto de timbre sobre documentos </w:t>
      </w:r>
      <w:proofErr w:type="spellStart"/>
      <w:r w:rsidR="001176D1">
        <w:rPr>
          <w:lang w:val="es-ES"/>
        </w:rPr>
        <w:t>púbicos</w:t>
      </w:r>
      <w:proofErr w:type="spellEnd"/>
      <w:r w:rsidR="001176D1">
        <w:rPr>
          <w:lang w:val="es-ES"/>
        </w:rPr>
        <w:t xml:space="preserve"> o privados </w:t>
      </w:r>
      <w:r w:rsidR="001176D1" w:rsidRPr="001176D1">
        <w:rPr>
          <w:lang w:val="es-ES"/>
        </w:rPr>
        <w:t>en los que se haga constar la constitución, existencia, modificación o extinción de obligaciones, al igual que su prórroga o cesión, cuya cuantía sea superior a</w:t>
      </w:r>
      <w:r w:rsidR="001176D1">
        <w:rPr>
          <w:lang w:val="es-ES"/>
        </w:rPr>
        <w:t xml:space="preserve"> 6.000 UVT (actualmente unos $298.794.000; ver </w:t>
      </w:r>
      <w:hyperlink r:id="rId6" w:anchor="514" w:history="1">
        <w:r w:rsidR="00D30358" w:rsidRPr="00D30358">
          <w:rPr>
            <w:rStyle w:val="Hipervnculo"/>
            <w:lang w:val="es-ES"/>
          </w:rPr>
          <w:t>artículos 514 a 554 del ET</w:t>
        </w:r>
      </w:hyperlink>
      <w:r w:rsidR="00D30358">
        <w:rPr>
          <w:lang w:val="es-ES"/>
        </w:rPr>
        <w:t xml:space="preserve"> y los </w:t>
      </w:r>
      <w:hyperlink r:id="rId7" w:anchor="1.4.1.1.1" w:history="1">
        <w:r w:rsidR="00D30358" w:rsidRPr="00D30358">
          <w:rPr>
            <w:rStyle w:val="Hipervnculo"/>
            <w:lang w:val="es-ES"/>
          </w:rPr>
          <w:t xml:space="preserve">artículos </w:t>
        </w:r>
        <w:r w:rsidR="00D30358" w:rsidRPr="00D30358">
          <w:rPr>
            <w:rStyle w:val="Hipervnculo"/>
          </w:rPr>
          <w:t>1.4.1.1.1. hasta 1.4.1.8.2 del DUT 1625 de 2016</w:t>
        </w:r>
      </w:hyperlink>
      <w:r w:rsidR="001176D1">
        <w:rPr>
          <w:lang w:val="es-ES"/>
        </w:rPr>
        <w:t>)</w:t>
      </w:r>
    </w:p>
    <w:p w:rsidR="00D30358" w:rsidRDefault="00D30358">
      <w:pPr>
        <w:rPr>
          <w:lang w:val="es-ES"/>
        </w:rPr>
      </w:pPr>
    </w:p>
    <w:p w:rsidR="00D30358" w:rsidRDefault="00D30358">
      <w:pPr>
        <w:rPr>
          <w:lang w:val="es-ES"/>
        </w:rPr>
      </w:pPr>
      <w:r>
        <w:rPr>
          <w:lang w:val="es-ES"/>
        </w:rPr>
        <w:t xml:space="preserve">Ahora bien, en el inciso primero del </w:t>
      </w:r>
      <w:hyperlink r:id="rId8" w:anchor="177" w:history="1">
        <w:r w:rsidRPr="00D30358">
          <w:rPr>
            <w:rStyle w:val="Hipervnculo"/>
            <w:lang w:val="es-ES"/>
          </w:rPr>
          <w:t>artículo 177 del ET</w:t>
        </w:r>
      </w:hyperlink>
      <w:r>
        <w:rPr>
          <w:lang w:val="es-ES"/>
        </w:rPr>
        <w:t xml:space="preserve"> se establece desde hace tiempo la siguiente instrucción (el subrayado es nuestro):</w:t>
      </w:r>
    </w:p>
    <w:p w:rsidR="00D30358" w:rsidRDefault="00D30358">
      <w:pPr>
        <w:rPr>
          <w:lang w:val="es-ES"/>
        </w:rPr>
      </w:pPr>
    </w:p>
    <w:p w:rsidR="00D30358" w:rsidRPr="00D30358" w:rsidRDefault="00D30358" w:rsidP="00D30358">
      <w:pPr>
        <w:rPr>
          <w:i/>
          <w:iCs/>
          <w:color w:val="0070C0"/>
          <w:lang w:val="es-ES"/>
        </w:rPr>
      </w:pPr>
      <w:bookmarkStart w:id="0" w:name="177"/>
      <w:r>
        <w:rPr>
          <w:i/>
          <w:iCs/>
          <w:color w:val="0070C0"/>
          <w:lang w:val="es-ES"/>
        </w:rPr>
        <w:t>“</w:t>
      </w:r>
      <w:r w:rsidRPr="00D30358">
        <w:rPr>
          <w:i/>
          <w:iCs/>
          <w:color w:val="0070C0"/>
          <w:lang w:val="es-ES"/>
        </w:rPr>
        <w:t>ARTICULO 177. LAS LIMITACIONES A COSTOS SE APLICAN A LAS DEDUCCIONES.</w:t>
      </w:r>
      <w:bookmarkEnd w:id="0"/>
      <w:r w:rsidRPr="00D30358">
        <w:rPr>
          <w:i/>
          <w:iCs/>
          <w:color w:val="0070C0"/>
          <w:lang w:val="es-ES"/>
        </w:rPr>
        <w:t> Las deducciones están sujetas a las mismas limitaciones señaladas para los costos, en los artículos </w:t>
      </w:r>
      <w:hyperlink r:id="rId9" w:anchor="85" w:history="1">
        <w:r w:rsidRPr="00D30358">
          <w:rPr>
            <w:i/>
            <w:iCs/>
            <w:color w:val="0070C0"/>
            <w:lang w:val="es-ES"/>
          </w:rPr>
          <w:t>85</w:t>
        </w:r>
      </w:hyperlink>
      <w:r w:rsidRPr="00D30358">
        <w:rPr>
          <w:i/>
          <w:iCs/>
          <w:color w:val="0070C0"/>
          <w:lang w:val="es-ES"/>
        </w:rPr>
        <w:t> a </w:t>
      </w:r>
      <w:hyperlink r:id="rId10" w:anchor="88" w:history="1">
        <w:r w:rsidRPr="00D30358">
          <w:rPr>
            <w:i/>
            <w:iCs/>
            <w:color w:val="0070C0"/>
            <w:lang w:val="es-ES"/>
          </w:rPr>
          <w:t>88</w:t>
        </w:r>
      </w:hyperlink>
      <w:r w:rsidRPr="00D30358">
        <w:rPr>
          <w:i/>
          <w:iCs/>
          <w:color w:val="0070C0"/>
          <w:lang w:val="es-ES"/>
        </w:rPr>
        <w:t xml:space="preserve">, inclusive. </w:t>
      </w:r>
      <w:r w:rsidRPr="00D30358">
        <w:rPr>
          <w:b/>
          <w:bCs/>
          <w:i/>
          <w:iCs/>
          <w:color w:val="0070C0"/>
          <w:u w:val="single"/>
          <w:lang w:val="es-ES"/>
        </w:rPr>
        <w:t>Igualmente, para uno y otro caso, no serán deducibles los pagos respaldados en documentos frente a los cuales no se cumpla lo previsto en el numeral tercero del artículo </w:t>
      </w:r>
      <w:hyperlink r:id="rId11" w:anchor="522" w:history="1">
        <w:r w:rsidRPr="00D30358">
          <w:rPr>
            <w:b/>
            <w:bCs/>
            <w:i/>
            <w:iCs/>
            <w:color w:val="0070C0"/>
            <w:u w:val="single"/>
            <w:lang w:val="es-ES"/>
          </w:rPr>
          <w:t>522</w:t>
        </w:r>
      </w:hyperlink>
      <w:r w:rsidRPr="00D30358">
        <w:rPr>
          <w:b/>
          <w:bCs/>
          <w:i/>
          <w:iCs/>
          <w:color w:val="0070C0"/>
          <w:u w:val="single"/>
          <w:lang w:val="es-ES"/>
        </w:rPr>
        <w:t>.”</w:t>
      </w:r>
    </w:p>
    <w:p w:rsidR="00D30358" w:rsidRPr="00D30358" w:rsidRDefault="00D30358" w:rsidP="00D30358">
      <w:pPr>
        <w:rPr>
          <w:i/>
          <w:iCs/>
          <w:color w:val="0070C0"/>
          <w:lang w:val="es-ES"/>
        </w:rPr>
      </w:pPr>
    </w:p>
    <w:p w:rsidR="00D30358" w:rsidRPr="00D30358" w:rsidRDefault="00D30358" w:rsidP="00D30358">
      <w:pPr>
        <w:rPr>
          <w:i/>
          <w:iCs/>
          <w:color w:val="0070C0"/>
          <w:lang w:val="es-ES"/>
        </w:rPr>
      </w:pPr>
      <w:r w:rsidRPr="00D30358">
        <w:rPr>
          <w:i/>
          <w:iCs/>
          <w:color w:val="0070C0"/>
          <w:lang w:val="es-ES"/>
        </w:rPr>
        <w:t>Tampoco serán procedentes los costos o deducciones respecto de los cuales no se cumpla con la obligación señalada en artículo </w:t>
      </w:r>
      <w:hyperlink r:id="rId12" w:anchor="632" w:history="1">
        <w:r w:rsidRPr="00D30358">
          <w:rPr>
            <w:i/>
            <w:iCs/>
            <w:color w:val="0070C0"/>
            <w:lang w:val="es-ES"/>
          </w:rPr>
          <w:t>632</w:t>
        </w:r>
      </w:hyperlink>
      <w:r w:rsidRPr="00D30358">
        <w:rPr>
          <w:i/>
          <w:iCs/>
          <w:color w:val="0070C0"/>
          <w:lang w:val="es-ES"/>
        </w:rPr>
        <w:t>.</w:t>
      </w:r>
      <w:r>
        <w:rPr>
          <w:i/>
          <w:iCs/>
          <w:color w:val="0070C0"/>
          <w:lang w:val="es-ES"/>
        </w:rPr>
        <w:t>”</w:t>
      </w:r>
    </w:p>
    <w:p w:rsidR="00D30358" w:rsidRPr="00D30358" w:rsidRDefault="00D30358" w:rsidP="00D30358">
      <w:pPr>
        <w:jc w:val="both"/>
        <w:rPr>
          <w:rFonts w:ascii="Work Sans" w:hAnsi="Work Sans"/>
          <w:i/>
          <w:iCs/>
          <w:color w:val="0070C0"/>
          <w:sz w:val="27"/>
          <w:szCs w:val="27"/>
        </w:rPr>
      </w:pPr>
    </w:p>
    <w:p w:rsidR="00D30358" w:rsidRDefault="00D30358">
      <w:r>
        <w:t xml:space="preserve">Al respecto, en el </w:t>
      </w:r>
      <w:hyperlink r:id="rId13" w:anchor="522" w:history="1">
        <w:r w:rsidRPr="00D30358">
          <w:rPr>
            <w:rStyle w:val="Hipervnculo"/>
          </w:rPr>
          <w:t>numeral 3 del artículo 522 del ET</w:t>
        </w:r>
      </w:hyperlink>
      <w:r>
        <w:t xml:space="preserve"> se establece lo siguiente (el </w:t>
      </w:r>
      <w:proofErr w:type="spellStart"/>
      <w:r>
        <w:t>subryado</w:t>
      </w:r>
      <w:proofErr w:type="spellEnd"/>
      <w:r>
        <w:t xml:space="preserve"> es nuestro): </w:t>
      </w:r>
    </w:p>
    <w:p w:rsidR="00D30358" w:rsidRDefault="00D30358"/>
    <w:p w:rsidR="00D30358" w:rsidRPr="00D30358" w:rsidRDefault="00D30358" w:rsidP="00D30358">
      <w:pPr>
        <w:rPr>
          <w:i/>
          <w:iCs/>
          <w:color w:val="0070C0"/>
        </w:rPr>
      </w:pPr>
      <w:bookmarkStart w:id="1" w:name="522"/>
      <w:r>
        <w:rPr>
          <w:i/>
          <w:iCs/>
          <w:color w:val="0070C0"/>
        </w:rPr>
        <w:t>“</w:t>
      </w:r>
      <w:r w:rsidRPr="00D30358">
        <w:rPr>
          <w:i/>
          <w:iCs/>
          <w:color w:val="0070C0"/>
        </w:rPr>
        <w:t>ARTICULO 522. REGLAS PARA DETERMINAR LAS CUANTIAS.</w:t>
      </w:r>
      <w:bookmarkEnd w:id="1"/>
      <w:r w:rsidRPr="00D30358">
        <w:rPr>
          <w:i/>
          <w:iCs/>
          <w:color w:val="0070C0"/>
        </w:rPr>
        <w:t> &lt;Fuente original compilada: L. 02/76 Art </w:t>
      </w:r>
      <w:hyperlink r:id="rId14" w:anchor="34" w:history="1">
        <w:r w:rsidRPr="00D30358">
          <w:rPr>
            <w:i/>
            <w:iCs/>
            <w:color w:val="0070C0"/>
          </w:rPr>
          <w:t>34</w:t>
        </w:r>
      </w:hyperlink>
      <w:r w:rsidRPr="00D30358">
        <w:rPr>
          <w:i/>
          <w:iCs/>
          <w:color w:val="0070C0"/>
        </w:rPr>
        <w:t>.&gt; Para la determinación de las cuantías en el impuesto de timbre, se observarán las siguientes reglas:</w:t>
      </w:r>
    </w:p>
    <w:p w:rsidR="00D30358" w:rsidRPr="00D30358" w:rsidRDefault="00D30358" w:rsidP="00D30358">
      <w:pPr>
        <w:rPr>
          <w:i/>
          <w:iCs/>
          <w:color w:val="0070C0"/>
        </w:rPr>
      </w:pPr>
      <w:r w:rsidRPr="00D30358">
        <w:rPr>
          <w:i/>
          <w:iCs/>
          <w:color w:val="0070C0"/>
        </w:rPr>
        <w:t>1..</w:t>
      </w:r>
    </w:p>
    <w:p w:rsidR="00D30358" w:rsidRPr="00D30358" w:rsidRDefault="00D30358" w:rsidP="00D30358">
      <w:pPr>
        <w:rPr>
          <w:i/>
          <w:iCs/>
          <w:color w:val="0070C0"/>
        </w:rPr>
      </w:pPr>
      <w:r w:rsidRPr="00D30358">
        <w:rPr>
          <w:i/>
          <w:iCs/>
          <w:color w:val="0070C0"/>
        </w:rPr>
        <w:t>2..</w:t>
      </w:r>
    </w:p>
    <w:p w:rsidR="00D30358" w:rsidRPr="00D30358" w:rsidRDefault="00D30358" w:rsidP="00D30358">
      <w:pPr>
        <w:rPr>
          <w:i/>
          <w:iCs/>
          <w:color w:val="0070C0"/>
        </w:rPr>
      </w:pPr>
      <w:r w:rsidRPr="00D30358">
        <w:rPr>
          <w:i/>
          <w:iCs/>
          <w:color w:val="0070C0"/>
        </w:rPr>
        <w:lastRenderedPageBreak/>
        <w:t xml:space="preserve">3. Se ajustarán los impuestos cuando inicialmente fue indeterminado el valor de un acto, sujeto a ellos o incorporado a documento que los origine y posteriormente dicho valor se haya determinado; </w:t>
      </w:r>
      <w:r w:rsidRPr="00D30358">
        <w:rPr>
          <w:b/>
          <w:bCs/>
          <w:i/>
          <w:iCs/>
          <w:color w:val="0070C0"/>
          <w:u w:val="single"/>
        </w:rPr>
        <w:t>sin la prueba del pago del impuesto ajustado no serán deducibles en lo referente a impuestos de renta y complementarios, los pagos ni las obligaciones que consten en los instrumentos gravados, ni tendrán valor probatorio ante las autoridades judiciales o administrativas</w:t>
      </w:r>
      <w:r w:rsidRPr="00D30358">
        <w:rPr>
          <w:i/>
          <w:iCs/>
          <w:color w:val="0070C0"/>
        </w:rPr>
        <w:t>.</w:t>
      </w:r>
    </w:p>
    <w:p w:rsidR="00D30358" w:rsidRPr="00D30358" w:rsidRDefault="00D30358" w:rsidP="00D30358">
      <w:pPr>
        <w:rPr>
          <w:i/>
          <w:iCs/>
          <w:color w:val="0070C0"/>
        </w:rPr>
      </w:pPr>
      <w:r w:rsidRPr="00D30358">
        <w:rPr>
          <w:i/>
          <w:iCs/>
          <w:color w:val="0070C0"/>
        </w:rPr>
        <w:t>4..</w:t>
      </w:r>
    </w:p>
    <w:p w:rsidR="00D30358" w:rsidRPr="00D30358" w:rsidRDefault="00D30358" w:rsidP="00D30358">
      <w:pPr>
        <w:rPr>
          <w:i/>
          <w:iCs/>
          <w:color w:val="0070C0"/>
        </w:rPr>
      </w:pPr>
      <w:r w:rsidRPr="00D30358">
        <w:rPr>
          <w:i/>
          <w:iCs/>
          <w:color w:val="0070C0"/>
        </w:rPr>
        <w:t>PARAGRAFO. &lt;Parágrafo adicionado por el artículo </w:t>
      </w:r>
      <w:hyperlink r:id="rId15" w:anchor="38" w:history="1">
        <w:r w:rsidRPr="00D30358">
          <w:rPr>
            <w:i/>
            <w:iCs/>
            <w:color w:val="0070C0"/>
          </w:rPr>
          <w:t>38</w:t>
        </w:r>
      </w:hyperlink>
      <w:r w:rsidRPr="00D30358">
        <w:rPr>
          <w:i/>
          <w:iCs/>
          <w:color w:val="0070C0"/>
        </w:rPr>
        <w:t> de la Ley 6 de 1992. El nuevo texto es el siguiente:&gt; En los casos previstos en el numeral 3), cuando la Administración Tributaria determine que el valor a pagar inicialmente era cuantificable, podrá, mediante resolución, fijar dicho valor imponiendo adicionalmente una sanción por inexactitud equivalente al 160% del mayor valor determinado.</w:t>
      </w:r>
      <w:r>
        <w:rPr>
          <w:i/>
          <w:iCs/>
          <w:color w:val="0070C0"/>
        </w:rPr>
        <w:t>”</w:t>
      </w:r>
    </w:p>
    <w:p w:rsidR="002F347E" w:rsidRDefault="002F347E">
      <w:pPr>
        <w:rPr>
          <w:color w:val="000000" w:themeColor="text1"/>
        </w:rPr>
      </w:pPr>
    </w:p>
    <w:p w:rsidR="00D30358" w:rsidRDefault="00D30358">
      <w:pPr>
        <w:rPr>
          <w:color w:val="000000" w:themeColor="text1"/>
        </w:rPr>
      </w:pPr>
      <w:r w:rsidRPr="00D30358">
        <w:rPr>
          <w:color w:val="000000" w:themeColor="text1"/>
        </w:rPr>
        <w:t>Por consiguiente, y de acuerdo a</w:t>
      </w:r>
      <w:r>
        <w:rPr>
          <w:color w:val="000000" w:themeColor="text1"/>
        </w:rPr>
        <w:t xml:space="preserve"> lo dispuesto en las dos normas anteriormente citadas, se puede entender que los costos y gastos que estén soportados en documentos que se debían someter a la liquidación del impuesto de timbre</w:t>
      </w:r>
      <w:r w:rsidR="002F347E">
        <w:rPr>
          <w:color w:val="000000" w:themeColor="text1"/>
        </w:rPr>
        <w:t>, no podrán ser aceptados como deducibles si dicho impuesto no fue liquidado y pagado</w:t>
      </w:r>
    </w:p>
    <w:p w:rsidR="002F347E" w:rsidRDefault="002F347E">
      <w:pPr>
        <w:rPr>
          <w:color w:val="000000" w:themeColor="text1"/>
        </w:rPr>
      </w:pPr>
    </w:p>
    <w:p w:rsidR="002F347E" w:rsidRDefault="002F347E">
      <w:pPr>
        <w:rPr>
          <w:color w:val="000000" w:themeColor="text1"/>
        </w:rPr>
      </w:pPr>
      <w:r>
        <w:rPr>
          <w:color w:val="000000" w:themeColor="text1"/>
        </w:rPr>
        <w:t xml:space="preserve">Así por ejemplo, si entre febrero y diciembre de 2025 se firmó un contrato de arrendamiento por una cuantía superior a 6.000 UVT, el arrendatario solo podrá deducir el gasto por arrendamiento si se cumplen al mimos tiempo </w:t>
      </w:r>
      <w:proofErr w:type="spellStart"/>
      <w:r>
        <w:rPr>
          <w:color w:val="000000" w:themeColor="text1"/>
        </w:rPr>
        <w:t>múltipes</w:t>
      </w:r>
      <w:proofErr w:type="spellEnd"/>
      <w:r>
        <w:rPr>
          <w:color w:val="000000" w:themeColor="text1"/>
        </w:rPr>
        <w:t xml:space="preserve"> requisitos tales como:</w:t>
      </w:r>
    </w:p>
    <w:p w:rsidR="002F347E" w:rsidRDefault="002F347E">
      <w:pPr>
        <w:rPr>
          <w:color w:val="000000" w:themeColor="text1"/>
        </w:rPr>
      </w:pPr>
    </w:p>
    <w:p w:rsidR="002F347E" w:rsidRDefault="002F347E" w:rsidP="002F347E">
      <w:pPr>
        <w:pStyle w:val="Prrafodelista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Demostrar que sobre</w:t>
      </w:r>
      <w:r w:rsidRPr="002F347E">
        <w:rPr>
          <w:color w:val="000000" w:themeColor="text1"/>
        </w:rPr>
        <w:t xml:space="preserve"> dicho contrato se liquidó y pago el impuesto de timbre</w:t>
      </w:r>
    </w:p>
    <w:p w:rsidR="002F347E" w:rsidRDefault="002F347E" w:rsidP="002F347E">
      <w:pPr>
        <w:pStyle w:val="Prrafodelista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Demostrar que </w:t>
      </w:r>
      <w:r w:rsidRPr="002F347E">
        <w:rPr>
          <w:color w:val="000000" w:themeColor="text1"/>
        </w:rPr>
        <w:t xml:space="preserve">el arrendador elaboró la respectiva factura </w:t>
      </w:r>
      <w:r>
        <w:rPr>
          <w:color w:val="000000" w:themeColor="text1"/>
        </w:rPr>
        <w:t xml:space="preserve">electrónica </w:t>
      </w:r>
      <w:r w:rsidRPr="002F347E">
        <w:rPr>
          <w:color w:val="000000" w:themeColor="text1"/>
        </w:rPr>
        <w:t>de venta</w:t>
      </w:r>
      <w:r>
        <w:rPr>
          <w:color w:val="000000" w:themeColor="text1"/>
        </w:rPr>
        <w:t>. Pero si el arrendador estaba exonerado de dicha obligación, entonces el arrendatario tendrá que elaborar al menos el documento soporte en compras a los no obligados a facturar</w:t>
      </w:r>
    </w:p>
    <w:p w:rsidR="002F347E" w:rsidRDefault="002F347E" w:rsidP="002F347E">
      <w:pPr>
        <w:pStyle w:val="Prrafodelista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>Demostrar que los pagos del arrendamiento se sometieron a la norma de bancarización del artículo 771-5 del ET</w:t>
      </w:r>
    </w:p>
    <w:p w:rsidR="002F347E" w:rsidRDefault="002F347E" w:rsidP="002F347E">
      <w:pPr>
        <w:rPr>
          <w:color w:val="000000" w:themeColor="text1"/>
        </w:rPr>
      </w:pPr>
    </w:p>
    <w:p w:rsidR="002F347E" w:rsidRDefault="002F347E" w:rsidP="002F347E">
      <w:pPr>
        <w:rPr>
          <w:color w:val="000000" w:themeColor="text1"/>
        </w:rPr>
      </w:pPr>
      <w:r>
        <w:rPr>
          <w:color w:val="000000" w:themeColor="text1"/>
        </w:rPr>
        <w:t>Y lo anterior también aplicaría si se firmó por ejemplo una letra o un pagaré por un monto superior a $6.000 UVT y quien tomó el dinero prestado pretende tomar como deducible el valor de los intereses pagados al prestamista</w:t>
      </w:r>
    </w:p>
    <w:p w:rsidR="002F347E" w:rsidRDefault="002F347E" w:rsidP="002F347E">
      <w:pPr>
        <w:pBdr>
          <w:bottom w:val="single" w:sz="12" w:space="1" w:color="auto"/>
        </w:pBdr>
        <w:rPr>
          <w:color w:val="000000" w:themeColor="text1"/>
        </w:rPr>
      </w:pPr>
    </w:p>
    <w:p w:rsidR="002F347E" w:rsidRDefault="002F347E" w:rsidP="002F347E">
      <w:pPr>
        <w:rPr>
          <w:color w:val="000000" w:themeColor="text1"/>
        </w:rPr>
      </w:pPr>
    </w:p>
    <w:p w:rsidR="002F347E" w:rsidRDefault="00000000" w:rsidP="002F347E">
      <w:pPr>
        <w:rPr>
          <w:lang w:eastAsia="es-MX"/>
        </w:rPr>
      </w:pPr>
      <w:hyperlink r:id="rId16" w:history="1">
        <w:r w:rsidR="002F347E" w:rsidRPr="002F347E">
          <w:rPr>
            <w:rStyle w:val="Hipervnculo"/>
            <w:lang w:eastAsia="es-MX"/>
          </w:rPr>
          <w:t>Impuesto de timbre sobre documentos superiores a 6.000 UVT fue reactivado</w:t>
        </w:r>
      </w:hyperlink>
    </w:p>
    <w:p w:rsidR="002F347E" w:rsidRDefault="002F347E" w:rsidP="002F347E">
      <w:pPr>
        <w:rPr>
          <w:lang w:eastAsia="es-MX"/>
        </w:rPr>
      </w:pPr>
    </w:p>
    <w:p w:rsidR="002F347E" w:rsidRDefault="00000000" w:rsidP="002F347E">
      <w:hyperlink r:id="rId17" w:history="1">
        <w:r w:rsidR="002F347E" w:rsidRPr="002F347E">
          <w:rPr>
            <w:rStyle w:val="Hipervnculo"/>
          </w:rPr>
          <w:t>Gastos por impuestos del año 2025 que no se podrán deducir en la declaración de renta</w:t>
        </w:r>
      </w:hyperlink>
    </w:p>
    <w:p w:rsidR="002F347E" w:rsidRPr="002F347E" w:rsidRDefault="002F347E" w:rsidP="002F347E">
      <w:pPr>
        <w:rPr>
          <w:lang w:eastAsia="es-MX"/>
        </w:rPr>
      </w:pPr>
    </w:p>
    <w:p w:rsidR="002F347E" w:rsidRPr="002F347E" w:rsidRDefault="002F347E" w:rsidP="002F347E">
      <w:pPr>
        <w:rPr>
          <w:color w:val="000000" w:themeColor="text1"/>
        </w:rPr>
      </w:pPr>
    </w:p>
    <w:p w:rsidR="002F347E" w:rsidRPr="002F347E" w:rsidRDefault="002F347E" w:rsidP="002F347E">
      <w:pPr>
        <w:rPr>
          <w:color w:val="000000" w:themeColor="text1"/>
        </w:rPr>
      </w:pPr>
    </w:p>
    <w:sectPr w:rsidR="002F347E" w:rsidRPr="002F34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96670"/>
    <w:multiLevelType w:val="hybridMultilevel"/>
    <w:tmpl w:val="D888891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37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6D1"/>
    <w:rsid w:val="001176D1"/>
    <w:rsid w:val="002F347E"/>
    <w:rsid w:val="00766EA0"/>
    <w:rsid w:val="00D3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B4D3"/>
  <w15:chartTrackingRefBased/>
  <w15:docId w15:val="{DE98B418-FC3A-B447-8B60-9E11385F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2F347E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3035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3035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D3035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customStyle="1" w:styleId="baj">
    <w:name w:val="b_aj"/>
    <w:basedOn w:val="Fuentedeprrafopredeter"/>
    <w:rsid w:val="00D30358"/>
  </w:style>
  <w:style w:type="paragraph" w:styleId="Prrafodelista">
    <w:name w:val="List Paragraph"/>
    <w:basedOn w:val="Normal"/>
    <w:uiPriority w:val="34"/>
    <w:qFormat/>
    <w:rsid w:val="002F347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2F347E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ograma.dian.gov.co/dian/compilacion/docs/estatuto_tributario.htm" TargetMode="External"/><Relationship Id="rId13" Type="http://schemas.openxmlformats.org/officeDocument/2006/relationships/hyperlink" Target="https://normograma.dian.gov.co/dian/compilacion/docs/estatuto_tributario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normograma.dian.gov.co/dian/compilacion/docs/decreto_1625_2016.htm" TargetMode="External"/><Relationship Id="rId12" Type="http://schemas.openxmlformats.org/officeDocument/2006/relationships/hyperlink" Target="https://normograma.dian.gov.co/dian/compilacion/docs/estatuto_tributario.htm" TargetMode="External"/><Relationship Id="rId17" Type="http://schemas.openxmlformats.org/officeDocument/2006/relationships/hyperlink" Target="https://actualicese.com/gastos-por-impuestos-del-ano-2025-que-no-se-podran-deducir-en-la-declaracion-de-rent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actualicese.com/impuesto-de-timbre-sobre-documentos-superiores-a-6-000-uvt-fue-reactivado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ormograma.dian.gov.co/dian/compilacion/docs/estatuto_tributario.htm" TargetMode="External"/><Relationship Id="rId11" Type="http://schemas.openxmlformats.org/officeDocument/2006/relationships/hyperlink" Target="https://normograma.dian.gov.co/dian/compilacion/docs/estatuto_tributario.htm" TargetMode="External"/><Relationship Id="rId5" Type="http://schemas.openxmlformats.org/officeDocument/2006/relationships/hyperlink" Target="https://actualicese.com/impuesto-de-timbre-sobre-documentos-superiores-a-6-000-uvt-fue-reactivado/" TargetMode="External"/><Relationship Id="rId15" Type="http://schemas.openxmlformats.org/officeDocument/2006/relationships/hyperlink" Target="https://normograma.dian.gov.co/dian/compilacion/docs/ley_0006_1992.htm" TargetMode="External"/><Relationship Id="rId10" Type="http://schemas.openxmlformats.org/officeDocument/2006/relationships/hyperlink" Target="https://normograma.dian.gov.co/dian/compilacion/docs/estatuto_tributario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normograma.dian.gov.co/dian/compilacion/docs/estatuto_tributario.htm" TargetMode="External"/><Relationship Id="rId14" Type="http://schemas.openxmlformats.org/officeDocument/2006/relationships/hyperlink" Target="https://normograma.dian.gov.co/dian/compilacion/docs/ley_0002_1976.ht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832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guevara</dc:creator>
  <cp:keywords/>
  <dc:description/>
  <cp:lastModifiedBy>diego guevara</cp:lastModifiedBy>
  <cp:revision>3</cp:revision>
  <dcterms:created xsi:type="dcterms:W3CDTF">2025-09-22T18:21:00Z</dcterms:created>
  <dcterms:modified xsi:type="dcterms:W3CDTF">2025-11-20T17:20:00Z</dcterms:modified>
</cp:coreProperties>
</file>